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DF1" w:rsidRDefault="00783A46">
      <w:r>
        <w:t>To test the safety of the proposed alternatives the Enhanced Interchange Safety Analysis Tool (</w:t>
      </w:r>
      <w:proofErr w:type="spellStart"/>
      <w:r>
        <w:t>ISATe</w:t>
      </w:r>
      <w:proofErr w:type="spellEnd"/>
      <w:r>
        <w:t xml:space="preserve">) was used.  The </w:t>
      </w:r>
      <w:proofErr w:type="spellStart"/>
      <w:r>
        <w:t>ISATe</w:t>
      </w:r>
      <w:proofErr w:type="spellEnd"/>
      <w:r>
        <w:t xml:space="preserve"> was developed using the Highway Safety Manual (HSM).  </w:t>
      </w:r>
      <w:proofErr w:type="spellStart"/>
      <w:r>
        <w:t>ISATe</w:t>
      </w:r>
      <w:proofErr w:type="spellEnd"/>
      <w:r>
        <w:t xml:space="preserve"> provides crash predictions for highway interchanges based on their geometric alignment, various design components such as the presence of a barrier, or lane widths and shoulder widths to estimate future crashes.  </w:t>
      </w:r>
      <w:r w:rsidR="00EB0FEB">
        <w:t xml:space="preserve">It then scales the number of predicted crashes by the input AADT for that specific area so that it can </w:t>
      </w:r>
      <w:r>
        <w:t>calculat</w:t>
      </w:r>
      <w:r w:rsidR="00EB0FEB">
        <w:t>e</w:t>
      </w:r>
      <w:r>
        <w:t xml:space="preserve"> the expected crashes.  </w:t>
      </w:r>
      <w:proofErr w:type="spellStart"/>
      <w:r>
        <w:t>PennDOT</w:t>
      </w:r>
      <w:proofErr w:type="spellEnd"/>
      <w:r>
        <w:t xml:space="preserve"> is currently integrating the use of the HSM into the design process, therefore the </w:t>
      </w:r>
      <w:proofErr w:type="spellStart"/>
      <w:r>
        <w:t>ISATe</w:t>
      </w:r>
      <w:proofErr w:type="spellEnd"/>
      <w:r>
        <w:t xml:space="preserve"> was the tool chosen to do the analysis.  It is used to compare the no-build condition to the proposed alternatives to aide in </w:t>
      </w:r>
      <w:r w:rsidR="00EB0FEB">
        <w:t xml:space="preserve">understanding of the safety of each alternative and help in the </w:t>
      </w:r>
      <w:r>
        <w:t>recommendation of choosing an alternative.</w:t>
      </w:r>
    </w:p>
    <w:p w:rsidR="00EB0FEB" w:rsidRDefault="00EB0FEB">
      <w:r>
        <w:t>The difference in crashes for opening day (2025), and the design year (2045) is directly proportional to the AADT of each area.  The AADTs for these years were found by taking the 2013 AADT, and scaling it up using compoundi</w:t>
      </w:r>
      <w:r w:rsidR="00897A67">
        <w:t>ng growth rate of 2% per year</w:t>
      </w:r>
      <w:r w:rsidR="00DB3964">
        <w:t xml:space="preserve">.  </w:t>
      </w:r>
    </w:p>
    <w:p w:rsidR="00050060" w:rsidRDefault="000756AB">
      <w:r>
        <w:t xml:space="preserve">The </w:t>
      </w:r>
      <w:proofErr w:type="spellStart"/>
      <w:r>
        <w:t>ISATe</w:t>
      </w:r>
      <w:proofErr w:type="spellEnd"/>
      <w:r>
        <w:t xml:space="preserve"> analysis tool gave an output summary detailing expected number of crashes per year, and to what severity.  </w:t>
      </w:r>
      <w:r w:rsidR="00EB0FEB">
        <w:t>As expected,</w:t>
      </w:r>
      <w:r w:rsidR="00D450EC">
        <w:t xml:space="preserve"> t</w:t>
      </w:r>
      <w:r w:rsidR="003C13EB">
        <w:t xml:space="preserve">he </w:t>
      </w:r>
      <w:r w:rsidR="00EB0FEB">
        <w:t>number of</w:t>
      </w:r>
      <w:r w:rsidR="003C13EB">
        <w:t xml:space="preserve"> crashes</w:t>
      </w:r>
      <w:r w:rsidR="00EB0FEB">
        <w:t xml:space="preserve"> per </w:t>
      </w:r>
      <w:r w:rsidR="003C13EB">
        <w:t>year</w:t>
      </w:r>
      <w:r>
        <w:t xml:space="preserve"> </w:t>
      </w:r>
      <w:r w:rsidR="001B0120">
        <w:t>for the no-build alternative</w:t>
      </w:r>
      <w:r w:rsidR="003C1580">
        <w:t xml:space="preserve"> is </w:t>
      </w:r>
      <w:r w:rsidR="001B0120">
        <w:t>higher</w:t>
      </w:r>
      <w:r w:rsidR="003C1580">
        <w:t xml:space="preserve"> than the </w:t>
      </w:r>
      <w:r w:rsidR="007B6AB9">
        <w:t>proposed alternatives, due to</w:t>
      </w:r>
      <w:r w:rsidR="003C1580">
        <w:t xml:space="preserve"> </w:t>
      </w:r>
      <w:r w:rsidR="001B0120">
        <w:t>its alignments, and inadequate ramp lengths</w:t>
      </w:r>
      <w:r w:rsidR="003C1580">
        <w:t xml:space="preserve">.  </w:t>
      </w:r>
      <w:r w:rsidR="007B6AB9">
        <w:t>While all the alternatives came up very close in safety rating, the safest alternative is 2</w:t>
      </w:r>
      <w:r w:rsidR="004F5107">
        <w:t>A</w:t>
      </w:r>
      <w:r w:rsidR="00387D33">
        <w:t>,</w:t>
      </w:r>
      <w:r w:rsidR="00EB0FEB">
        <w:t xml:space="preserve"> with 211.5</w:t>
      </w:r>
      <w:r w:rsidR="007B6AB9">
        <w:t xml:space="preserve"> </w:t>
      </w:r>
      <w:r w:rsidR="00922227">
        <w:t xml:space="preserve">predicted </w:t>
      </w:r>
      <w:r w:rsidR="007B6AB9">
        <w:t>crashes</w:t>
      </w:r>
      <w:r w:rsidR="00EB0FEB">
        <w:t xml:space="preserve"> in the design year</w:t>
      </w:r>
      <w:r w:rsidR="007B6AB9">
        <w:t>, next is 2D</w:t>
      </w:r>
      <w:r w:rsidR="00EB0FEB">
        <w:t xml:space="preserve"> with 212.4 crashes</w:t>
      </w:r>
      <w:r w:rsidR="007B6AB9">
        <w:t>, and lastly</w:t>
      </w:r>
      <w:r w:rsidR="004F5107">
        <w:t xml:space="preserve"> 2B</w:t>
      </w:r>
      <w:r w:rsidR="00A6141F">
        <w:t xml:space="preserve"> with</w:t>
      </w:r>
      <w:r w:rsidR="00EB0FEB">
        <w:t xml:space="preserve"> 216.3 crashes</w:t>
      </w:r>
      <w:r w:rsidR="00A6141F">
        <w:t xml:space="preserve">.  </w:t>
      </w:r>
      <w:r w:rsidR="007B6AB9">
        <w:t>It is important to take note of where</w:t>
      </w:r>
      <w:r w:rsidR="004F5107">
        <w:t xml:space="preserve"> the crashes are happening</w:t>
      </w:r>
      <w:r w:rsidR="007B6AB9">
        <w:t xml:space="preserve">.  Alternative 2B was found to be the safest on the mainline, but the least safe on the ramps, </w:t>
      </w:r>
      <w:r w:rsidR="00922227">
        <w:t xml:space="preserve">due to the fact that all of the exits are grouped together, so there are </w:t>
      </w:r>
      <w:r w:rsidR="00897A67">
        <w:t>fewer</w:t>
      </w:r>
      <w:r w:rsidR="00922227">
        <w:t xml:space="preserve"> exits from the mainline.  2A was found to be the safest on the ramps due to the fact that it has fewer ramps than the other alternatives.</w:t>
      </w:r>
      <w:r w:rsidR="007B6AB9">
        <w:t xml:space="preserve">  </w:t>
      </w:r>
    </w:p>
    <w:p w:rsidR="00783A46" w:rsidRDefault="00783A46"/>
    <w:p w:rsidR="00E54731" w:rsidRDefault="00E54731">
      <w:r>
        <w:t>Alternative</w:t>
      </w:r>
      <w:r w:rsidR="00E90904">
        <w:t>s</w:t>
      </w:r>
      <w:r w:rsidR="00EF4665">
        <w:t xml:space="preserve"> and predicted crashes.</w:t>
      </w:r>
    </w:p>
    <w:tbl>
      <w:tblPr>
        <w:tblW w:w="9375" w:type="dxa"/>
        <w:tblInd w:w="93" w:type="dxa"/>
        <w:tblLayout w:type="fixed"/>
        <w:tblLook w:val="04A0" w:firstRow="1" w:lastRow="0" w:firstColumn="1" w:lastColumn="0" w:noHBand="0" w:noVBand="1"/>
      </w:tblPr>
      <w:tblGrid>
        <w:gridCol w:w="1725"/>
        <w:gridCol w:w="990"/>
        <w:gridCol w:w="900"/>
        <w:gridCol w:w="900"/>
        <w:gridCol w:w="900"/>
        <w:gridCol w:w="990"/>
        <w:gridCol w:w="990"/>
        <w:gridCol w:w="990"/>
        <w:gridCol w:w="990"/>
      </w:tblGrid>
      <w:tr w:rsidR="00B66279" w:rsidRPr="00B66279" w:rsidTr="00B66279">
        <w:trPr>
          <w:trHeight w:val="315"/>
        </w:trPr>
        <w:tc>
          <w:tcPr>
            <w:tcW w:w="1725" w:type="dxa"/>
            <w:vMerge w:val="restart"/>
            <w:tcBorders>
              <w:top w:val="single" w:sz="4" w:space="0" w:color="4F81BD"/>
              <w:left w:val="single" w:sz="4" w:space="0" w:color="4F81BD"/>
              <w:bottom w:val="double" w:sz="6"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ALTERNATIVE</w:t>
            </w:r>
          </w:p>
        </w:tc>
        <w:tc>
          <w:tcPr>
            <w:tcW w:w="1890" w:type="dxa"/>
            <w:gridSpan w:val="2"/>
            <w:tcBorders>
              <w:top w:val="single" w:sz="4" w:space="0" w:color="4F81BD"/>
              <w:left w:val="nil"/>
              <w:bottom w:val="single" w:sz="4"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TOTAL CRASHES</w:t>
            </w:r>
          </w:p>
        </w:tc>
        <w:tc>
          <w:tcPr>
            <w:tcW w:w="1800" w:type="dxa"/>
            <w:gridSpan w:val="2"/>
            <w:tcBorders>
              <w:top w:val="single" w:sz="4" w:space="0" w:color="4F81BD"/>
              <w:left w:val="nil"/>
              <w:bottom w:val="single" w:sz="4"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MAINLINE</w:t>
            </w:r>
          </w:p>
        </w:tc>
        <w:tc>
          <w:tcPr>
            <w:tcW w:w="1980" w:type="dxa"/>
            <w:gridSpan w:val="2"/>
            <w:tcBorders>
              <w:top w:val="single" w:sz="4" w:space="0" w:color="4F81BD"/>
              <w:left w:val="nil"/>
              <w:bottom w:val="single" w:sz="4"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RAMPS</w:t>
            </w:r>
          </w:p>
        </w:tc>
        <w:tc>
          <w:tcPr>
            <w:tcW w:w="1980" w:type="dxa"/>
            <w:gridSpan w:val="2"/>
            <w:tcBorders>
              <w:top w:val="single" w:sz="4" w:space="0" w:color="4F81BD"/>
              <w:left w:val="nil"/>
              <w:bottom w:val="single" w:sz="4"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TERIMINI</w:t>
            </w:r>
          </w:p>
        </w:tc>
      </w:tr>
      <w:tr w:rsidR="00B66279" w:rsidRPr="00B66279" w:rsidTr="00B66279">
        <w:trPr>
          <w:trHeight w:val="330"/>
        </w:trPr>
        <w:tc>
          <w:tcPr>
            <w:tcW w:w="1725" w:type="dxa"/>
            <w:vMerge/>
            <w:tcBorders>
              <w:top w:val="single" w:sz="4" w:space="0" w:color="4F81BD"/>
              <w:left w:val="single" w:sz="4" w:space="0" w:color="4F81BD"/>
              <w:bottom w:val="double" w:sz="6" w:space="0" w:color="4F81BD"/>
              <w:right w:val="single" w:sz="4" w:space="0" w:color="4F81BD"/>
            </w:tcBorders>
            <w:vAlign w:val="center"/>
            <w:hideMark/>
          </w:tcPr>
          <w:p w:rsidR="00B66279" w:rsidRPr="00B66279" w:rsidRDefault="00B66279" w:rsidP="00B66279">
            <w:pPr>
              <w:spacing w:after="0" w:line="240" w:lineRule="auto"/>
              <w:rPr>
                <w:rFonts w:ascii="Calibri" w:eastAsia="Times New Roman" w:hAnsi="Calibri" w:cs="Times New Roman"/>
                <w:b/>
                <w:bCs/>
                <w:color w:val="000000"/>
              </w:rPr>
            </w:pPr>
          </w:p>
        </w:tc>
        <w:tc>
          <w:tcPr>
            <w:tcW w:w="990" w:type="dxa"/>
            <w:tcBorders>
              <w:top w:val="nil"/>
              <w:left w:val="nil"/>
              <w:bottom w:val="double" w:sz="6" w:space="0" w:color="4F81BD"/>
              <w:right w:val="single" w:sz="4" w:space="0" w:color="4F81BD"/>
            </w:tcBorders>
            <w:shd w:val="clear" w:color="auto" w:fill="auto"/>
            <w:noWrap/>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2025</w:t>
            </w:r>
          </w:p>
        </w:tc>
        <w:tc>
          <w:tcPr>
            <w:tcW w:w="900" w:type="dxa"/>
            <w:tcBorders>
              <w:top w:val="nil"/>
              <w:left w:val="nil"/>
              <w:bottom w:val="double" w:sz="6" w:space="0" w:color="4F81BD"/>
              <w:right w:val="single" w:sz="4" w:space="0" w:color="4F81BD"/>
            </w:tcBorders>
            <w:shd w:val="clear" w:color="auto" w:fill="auto"/>
            <w:noWrap/>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2045</w:t>
            </w:r>
          </w:p>
        </w:tc>
        <w:tc>
          <w:tcPr>
            <w:tcW w:w="900" w:type="dxa"/>
            <w:tcBorders>
              <w:top w:val="nil"/>
              <w:left w:val="nil"/>
              <w:bottom w:val="double" w:sz="6" w:space="0" w:color="4F81BD"/>
              <w:right w:val="single" w:sz="4" w:space="0" w:color="4F81BD"/>
            </w:tcBorders>
            <w:shd w:val="clear" w:color="auto" w:fill="auto"/>
            <w:noWrap/>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2025</w:t>
            </w:r>
          </w:p>
        </w:tc>
        <w:tc>
          <w:tcPr>
            <w:tcW w:w="900" w:type="dxa"/>
            <w:tcBorders>
              <w:top w:val="nil"/>
              <w:left w:val="nil"/>
              <w:bottom w:val="double" w:sz="6"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2045</w:t>
            </w:r>
          </w:p>
        </w:tc>
        <w:tc>
          <w:tcPr>
            <w:tcW w:w="990" w:type="dxa"/>
            <w:tcBorders>
              <w:top w:val="nil"/>
              <w:left w:val="nil"/>
              <w:bottom w:val="double" w:sz="6"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2025</w:t>
            </w:r>
          </w:p>
        </w:tc>
        <w:tc>
          <w:tcPr>
            <w:tcW w:w="990" w:type="dxa"/>
            <w:tcBorders>
              <w:top w:val="nil"/>
              <w:left w:val="nil"/>
              <w:bottom w:val="double" w:sz="6"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2045</w:t>
            </w:r>
          </w:p>
        </w:tc>
        <w:tc>
          <w:tcPr>
            <w:tcW w:w="990" w:type="dxa"/>
            <w:tcBorders>
              <w:top w:val="nil"/>
              <w:left w:val="nil"/>
              <w:bottom w:val="double" w:sz="6"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2025</w:t>
            </w:r>
          </w:p>
        </w:tc>
        <w:tc>
          <w:tcPr>
            <w:tcW w:w="990" w:type="dxa"/>
            <w:tcBorders>
              <w:top w:val="nil"/>
              <w:left w:val="nil"/>
              <w:bottom w:val="double" w:sz="6" w:space="0" w:color="4F81BD"/>
              <w:right w:val="single" w:sz="4" w:space="0" w:color="4F81BD"/>
            </w:tcBorders>
            <w:shd w:val="clear" w:color="auto" w:fill="auto"/>
            <w:vAlign w:val="center"/>
            <w:hideMark/>
          </w:tcPr>
          <w:p w:rsidR="00B66279" w:rsidRPr="00B66279" w:rsidRDefault="00B66279" w:rsidP="00B66279">
            <w:pPr>
              <w:spacing w:after="0" w:line="240" w:lineRule="auto"/>
              <w:jc w:val="center"/>
              <w:rPr>
                <w:rFonts w:ascii="Calibri" w:eastAsia="Times New Roman" w:hAnsi="Calibri" w:cs="Times New Roman"/>
                <w:b/>
                <w:bCs/>
                <w:color w:val="000000"/>
              </w:rPr>
            </w:pPr>
            <w:r w:rsidRPr="00B66279">
              <w:rPr>
                <w:rFonts w:ascii="Calibri" w:eastAsia="Times New Roman" w:hAnsi="Calibri" w:cs="Times New Roman"/>
                <w:b/>
                <w:bCs/>
                <w:color w:val="000000"/>
              </w:rPr>
              <w:t>2045</w:t>
            </w:r>
          </w:p>
        </w:tc>
      </w:tr>
      <w:tr w:rsidR="00B66279" w:rsidRPr="00B66279" w:rsidTr="00B66279">
        <w:trPr>
          <w:trHeight w:val="315"/>
        </w:trPr>
        <w:tc>
          <w:tcPr>
            <w:tcW w:w="1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I80</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203.7</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378.0</w:t>
            </w:r>
          </w:p>
        </w:tc>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183.3</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340.1</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11.4</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21.1</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9.0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16.7</w:t>
            </w:r>
          </w:p>
        </w:tc>
      </w:tr>
      <w:tr w:rsidR="00B66279" w:rsidRPr="00B66279" w:rsidTr="00B66279">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2A</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119.6</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211.5</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102.8</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182.0</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7.0</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12.4</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9.7</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17.1</w:t>
            </w:r>
          </w:p>
        </w:tc>
      </w:tr>
      <w:tr w:rsidR="00B66279" w:rsidRPr="00B66279" w:rsidTr="00B66279">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2B</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124.4</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216.3</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102.2</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177.8</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13.5</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23.4</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8.7</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15.1</w:t>
            </w:r>
          </w:p>
        </w:tc>
      </w:tr>
      <w:tr w:rsidR="00B66279" w:rsidRPr="00B66279" w:rsidTr="00B66279">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2D</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122.4</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212.4</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103.7</w:t>
            </w:r>
          </w:p>
        </w:tc>
        <w:tc>
          <w:tcPr>
            <w:tcW w:w="90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179.9</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10.0</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17.4</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8.7</w:t>
            </w:r>
          </w:p>
        </w:tc>
        <w:tc>
          <w:tcPr>
            <w:tcW w:w="990" w:type="dxa"/>
            <w:tcBorders>
              <w:top w:val="nil"/>
              <w:left w:val="nil"/>
              <w:bottom w:val="single" w:sz="4" w:space="0" w:color="auto"/>
              <w:right w:val="single" w:sz="4" w:space="0" w:color="auto"/>
            </w:tcBorders>
            <w:shd w:val="clear" w:color="auto" w:fill="auto"/>
            <w:noWrap/>
            <w:vAlign w:val="bottom"/>
            <w:hideMark/>
          </w:tcPr>
          <w:p w:rsidR="00B66279" w:rsidRPr="00B66279" w:rsidRDefault="00B66279" w:rsidP="00B66279">
            <w:pPr>
              <w:spacing w:after="0" w:line="240" w:lineRule="auto"/>
              <w:jc w:val="center"/>
              <w:rPr>
                <w:rFonts w:ascii="Calibri" w:eastAsia="Times New Roman" w:hAnsi="Calibri" w:cs="Times New Roman"/>
                <w:color w:val="000000"/>
              </w:rPr>
            </w:pPr>
            <w:r w:rsidRPr="00B66279">
              <w:rPr>
                <w:rFonts w:ascii="Calibri" w:eastAsia="Times New Roman" w:hAnsi="Calibri" w:cs="Times New Roman"/>
                <w:color w:val="000000"/>
              </w:rPr>
              <w:t>15.0</w:t>
            </w:r>
          </w:p>
        </w:tc>
      </w:tr>
    </w:tbl>
    <w:p w:rsidR="00041C5D" w:rsidRDefault="00041C5D"/>
    <w:p w:rsidR="00B27C98" w:rsidRDefault="003E347A">
      <w:proofErr w:type="gramStart"/>
      <w:r>
        <w:t xml:space="preserve">APPENDIX  </w:t>
      </w:r>
      <w:r w:rsidR="00B27C98">
        <w:t>NOTES</w:t>
      </w:r>
      <w:proofErr w:type="gramEnd"/>
      <w:r w:rsidR="00B27C98">
        <w:t>:</w:t>
      </w:r>
    </w:p>
    <w:p w:rsidR="00B27C98" w:rsidRDefault="00B27C98" w:rsidP="00B27C98">
      <w:pPr>
        <w:pStyle w:val="ListParagraph"/>
        <w:numPr>
          <w:ilvl w:val="0"/>
          <w:numId w:val="1"/>
        </w:numPr>
      </w:pPr>
      <w:r>
        <w:t>When looking at the full report summary, pay most attention to KABC, not PDO</w:t>
      </w:r>
    </w:p>
    <w:p w:rsidR="00B27C98" w:rsidRDefault="00B27C98" w:rsidP="00B27C98">
      <w:pPr>
        <w:pStyle w:val="ListParagraph"/>
        <w:numPr>
          <w:ilvl w:val="0"/>
          <w:numId w:val="1"/>
        </w:numPr>
      </w:pPr>
      <w:r>
        <w:t xml:space="preserve">In </w:t>
      </w:r>
      <w:proofErr w:type="spellStart"/>
      <w:r>
        <w:t>ISATe</w:t>
      </w:r>
      <w:proofErr w:type="spellEnd"/>
      <w:r>
        <w:t xml:space="preserve"> files:</w:t>
      </w:r>
    </w:p>
    <w:p w:rsidR="00B27C98" w:rsidRDefault="00B27C98" w:rsidP="00B27C98">
      <w:pPr>
        <w:pStyle w:val="ListParagraph"/>
        <w:numPr>
          <w:ilvl w:val="1"/>
          <w:numId w:val="1"/>
        </w:numPr>
      </w:pPr>
      <w:r>
        <w:t>2013 = 2025</w:t>
      </w:r>
    </w:p>
    <w:p w:rsidR="00B27C98" w:rsidRDefault="00B27C98" w:rsidP="00B27C98">
      <w:pPr>
        <w:pStyle w:val="ListParagraph"/>
        <w:numPr>
          <w:ilvl w:val="1"/>
          <w:numId w:val="1"/>
        </w:numPr>
      </w:pPr>
      <w:r>
        <w:t>2014 = 2045</w:t>
      </w:r>
    </w:p>
    <w:p w:rsidR="00B27C98" w:rsidRDefault="00B27C98" w:rsidP="00B27C98">
      <w:pPr>
        <w:pStyle w:val="ListParagraph"/>
        <w:numPr>
          <w:ilvl w:val="2"/>
          <w:numId w:val="1"/>
        </w:numPr>
      </w:pPr>
      <w:r>
        <w:t>AADTs were calculated for co</w:t>
      </w:r>
      <w:r w:rsidR="002D0CCF">
        <w:t xml:space="preserve">rrect years and put in as 2013 and </w:t>
      </w:r>
      <w:r>
        <w:t>2014 due to program limits</w:t>
      </w:r>
    </w:p>
    <w:p w:rsidR="00B27C98" w:rsidRDefault="00B27C98" w:rsidP="00B27C98">
      <w:pPr>
        <w:pStyle w:val="ListParagraph"/>
        <w:numPr>
          <w:ilvl w:val="0"/>
          <w:numId w:val="1"/>
        </w:numPr>
      </w:pPr>
      <w:r>
        <w:lastRenderedPageBreak/>
        <w:t xml:space="preserve">The </w:t>
      </w:r>
      <w:proofErr w:type="spellStart"/>
      <w:r>
        <w:t>ISATe</w:t>
      </w:r>
      <w:proofErr w:type="spellEnd"/>
      <w:r>
        <w:t xml:space="preserve"> spreadsheet is not calibrated to our location</w:t>
      </w:r>
    </w:p>
    <w:p w:rsidR="004A292A" w:rsidRDefault="00B27C98" w:rsidP="004A292A">
      <w:pPr>
        <w:pStyle w:val="ListParagraph"/>
        <w:numPr>
          <w:ilvl w:val="0"/>
          <w:numId w:val="1"/>
        </w:numPr>
      </w:pPr>
      <w:r>
        <w:t>To account for ramps not currently existing, an AADT of 1000 (in 2013) was assumed</w:t>
      </w:r>
      <w:r w:rsidR="004F5107">
        <w:t>, a</w:t>
      </w:r>
      <w:r w:rsidR="003E347A">
        <w:t xml:space="preserve">nd 10000 </w:t>
      </w:r>
      <w:proofErr w:type="gramStart"/>
      <w:r w:rsidR="003E347A">
        <w:t>was</w:t>
      </w:r>
      <w:proofErr w:type="gramEnd"/>
      <w:r w:rsidR="003E347A">
        <w:t xml:space="preserve"> used for connect</w:t>
      </w:r>
      <w:r w:rsidR="00B66279">
        <w:t>or</w:t>
      </w:r>
      <w:r w:rsidR="003E347A">
        <w:t xml:space="preserve"> ramps</w:t>
      </w:r>
      <w:r w:rsidR="004F5107">
        <w:t>.</w:t>
      </w:r>
    </w:p>
    <w:p w:rsidR="00922227" w:rsidRDefault="00922227" w:rsidP="00922227"/>
    <w:p w:rsidR="00922227" w:rsidRDefault="00922227" w:rsidP="00922227"/>
    <w:p w:rsidR="00B401AC" w:rsidRDefault="004A292A" w:rsidP="004A292A">
      <w:r>
        <w:t xml:space="preserve">To analyze the ramp terminals, another spreadsheet developed by </w:t>
      </w:r>
      <w:proofErr w:type="spellStart"/>
      <w:r>
        <w:t>PennDOT</w:t>
      </w:r>
      <w:proofErr w:type="spellEnd"/>
      <w:r>
        <w:t xml:space="preserve"> using the HSM was used.  The </w:t>
      </w:r>
      <w:proofErr w:type="spellStart"/>
      <w:r>
        <w:t>PennDOT</w:t>
      </w:r>
      <w:proofErr w:type="spellEnd"/>
      <w:r>
        <w:t xml:space="preserve"> HSM Tool uses information about the intersection, such as lane configurations, pedestrians, school, and alcohol sales establishm</w:t>
      </w:r>
      <w:bookmarkStart w:id="0" w:name="_GoBack"/>
      <w:bookmarkEnd w:id="0"/>
      <w:r>
        <w:t xml:space="preserve">ents nearby, as well as existing crash data to calculate the predicted number of crashes and type at a particular intersection.  This analysis was used for all of the ramp terminal intersections in the project limits.  </w:t>
      </w:r>
      <w:r w:rsidR="00DA49CA">
        <w:t xml:space="preserve">For this project the Urban and Suburban Arterials part of the tool was used.  </w:t>
      </w:r>
      <w:r w:rsidR="00922227">
        <w:t xml:space="preserve">Like the </w:t>
      </w:r>
      <w:proofErr w:type="spellStart"/>
      <w:r w:rsidR="00922227">
        <w:t>ISATe</w:t>
      </w:r>
      <w:proofErr w:type="spellEnd"/>
      <w:r w:rsidR="00922227">
        <w:t>, AADTs are needed to run this program,</w:t>
      </w:r>
      <w:r w:rsidR="00916B01">
        <w:t xml:space="preserve"> and therefore, the</w:t>
      </w:r>
      <w:r w:rsidR="00922227">
        <w:t xml:space="preserve"> AADTs </w:t>
      </w:r>
      <w:r w:rsidR="00916B01">
        <w:t>were extrapolated from the 2013 AADTs using a compounding growth rate again.  These results are for the design year (2045)</w:t>
      </w:r>
    </w:p>
    <w:p w:rsidR="00B401AC" w:rsidRDefault="00B401AC" w:rsidP="004A292A">
      <w:r>
        <w:t>From the analysis it is found that the existing condition is once again the least safe, wit</w:t>
      </w:r>
      <w:r w:rsidR="00122DA2">
        <w:t xml:space="preserve">h 10.14 crashes per </w:t>
      </w:r>
      <w:r>
        <w:t xml:space="preserve">year, and alternative 2D has the safest ramp terminals, with a predicted </w:t>
      </w:r>
      <w:r w:rsidR="00A965C2">
        <w:t>6.64</w:t>
      </w:r>
      <w:r>
        <w:t xml:space="preserve"> crashes/year.  </w:t>
      </w:r>
      <w:r w:rsidR="00122DA2">
        <w:t xml:space="preserve">Close, but not as safe is 2B with 1.15 crashes per year.  </w:t>
      </w:r>
      <w:r>
        <w:t>The least safe of the proposed alternatives is 2</w:t>
      </w:r>
      <w:r w:rsidR="00A965C2">
        <w:t>A with 8.47</w:t>
      </w:r>
      <w:r>
        <w:t xml:space="preserve"> crash</w:t>
      </w:r>
      <w:r w:rsidR="00122DA2">
        <w:t xml:space="preserve">es per </w:t>
      </w:r>
      <w:r w:rsidR="00A965C2">
        <w:t>year</w:t>
      </w:r>
      <w:r>
        <w:t xml:space="preserve">.  </w:t>
      </w:r>
    </w:p>
    <w:p w:rsidR="00922227" w:rsidRDefault="00922227" w:rsidP="004A292A">
      <w:r>
        <w:t xml:space="preserve">Alternative 2D </w:t>
      </w:r>
      <w:r w:rsidR="00A965C2">
        <w:t xml:space="preserve">also </w:t>
      </w:r>
      <w:r>
        <w:t>has the least numbe</w:t>
      </w:r>
      <w:r w:rsidR="00A965C2">
        <w:t>r of crashes per intersection</w:t>
      </w:r>
      <w:r>
        <w:t>.  2A was found to have the le</w:t>
      </w:r>
      <w:r w:rsidR="00A965C2">
        <w:t>ast safe intersections</w:t>
      </w:r>
      <w:r>
        <w:t xml:space="preserve">.  </w:t>
      </w:r>
    </w:p>
    <w:tbl>
      <w:tblPr>
        <w:tblW w:w="9285" w:type="dxa"/>
        <w:tblInd w:w="93" w:type="dxa"/>
        <w:tblLook w:val="04A0" w:firstRow="1" w:lastRow="0" w:firstColumn="1" w:lastColumn="0" w:noHBand="0" w:noVBand="1"/>
      </w:tblPr>
      <w:tblGrid>
        <w:gridCol w:w="2211"/>
        <w:gridCol w:w="1203"/>
        <w:gridCol w:w="787"/>
        <w:gridCol w:w="855"/>
        <w:gridCol w:w="720"/>
        <w:gridCol w:w="900"/>
        <w:gridCol w:w="810"/>
        <w:gridCol w:w="990"/>
        <w:gridCol w:w="810"/>
      </w:tblGrid>
      <w:tr w:rsidR="00A656B5" w:rsidRPr="00A656B5" w:rsidTr="00A656B5">
        <w:trPr>
          <w:trHeight w:val="300"/>
        </w:trPr>
        <w:tc>
          <w:tcPr>
            <w:tcW w:w="4200" w:type="dxa"/>
            <w:gridSpan w:val="3"/>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r w:rsidRPr="00A656B5">
              <w:rPr>
                <w:rFonts w:ascii="Calibri" w:eastAsia="Times New Roman" w:hAnsi="Calibri" w:cs="Times New Roman"/>
                <w:color w:val="000000"/>
              </w:rPr>
              <w:t>Number of Crashes/year</w:t>
            </w:r>
          </w:p>
        </w:tc>
        <w:tc>
          <w:tcPr>
            <w:tcW w:w="855"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72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0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r>
      <w:tr w:rsidR="00A656B5" w:rsidRPr="00A656B5" w:rsidTr="00A656B5">
        <w:trPr>
          <w:trHeight w:val="300"/>
        </w:trPr>
        <w:tc>
          <w:tcPr>
            <w:tcW w:w="221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1203"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787"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55"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72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0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r>
      <w:tr w:rsidR="00A656B5" w:rsidRPr="00A656B5" w:rsidTr="00A656B5">
        <w:trPr>
          <w:trHeight w:val="315"/>
        </w:trPr>
        <w:tc>
          <w:tcPr>
            <w:tcW w:w="2210" w:type="dxa"/>
            <w:tcBorders>
              <w:top w:val="single" w:sz="4" w:space="0" w:color="4F81BD"/>
              <w:left w:val="single" w:sz="4" w:space="0" w:color="4F81BD"/>
              <w:bottom w:val="double" w:sz="6"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 </w:t>
            </w:r>
          </w:p>
        </w:tc>
        <w:tc>
          <w:tcPr>
            <w:tcW w:w="1203" w:type="dxa"/>
            <w:tcBorders>
              <w:top w:val="single" w:sz="4" w:space="0" w:color="4F81BD"/>
              <w:left w:val="single" w:sz="8" w:space="0" w:color="4F81BD"/>
              <w:bottom w:val="double" w:sz="6"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NO BUILD</w:t>
            </w:r>
          </w:p>
        </w:tc>
        <w:tc>
          <w:tcPr>
            <w:tcW w:w="787" w:type="dxa"/>
            <w:tcBorders>
              <w:top w:val="single" w:sz="4" w:space="0" w:color="4F81BD"/>
              <w:left w:val="nil"/>
              <w:bottom w:val="double" w:sz="6"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 </w:t>
            </w:r>
          </w:p>
        </w:tc>
        <w:tc>
          <w:tcPr>
            <w:tcW w:w="855" w:type="dxa"/>
            <w:tcBorders>
              <w:top w:val="single" w:sz="4" w:space="0" w:color="4F81BD"/>
              <w:left w:val="nil"/>
              <w:bottom w:val="double" w:sz="6"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2A</w:t>
            </w:r>
          </w:p>
        </w:tc>
        <w:tc>
          <w:tcPr>
            <w:tcW w:w="720" w:type="dxa"/>
            <w:tcBorders>
              <w:top w:val="single" w:sz="4" w:space="0" w:color="4F81BD"/>
              <w:left w:val="nil"/>
              <w:bottom w:val="double" w:sz="6"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 </w:t>
            </w:r>
          </w:p>
        </w:tc>
        <w:tc>
          <w:tcPr>
            <w:tcW w:w="900" w:type="dxa"/>
            <w:tcBorders>
              <w:top w:val="single" w:sz="4" w:space="0" w:color="4F81BD"/>
              <w:left w:val="nil"/>
              <w:bottom w:val="double" w:sz="6"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2B</w:t>
            </w:r>
          </w:p>
        </w:tc>
        <w:tc>
          <w:tcPr>
            <w:tcW w:w="810" w:type="dxa"/>
            <w:tcBorders>
              <w:top w:val="single" w:sz="4" w:space="0" w:color="4F81BD"/>
              <w:left w:val="nil"/>
              <w:bottom w:val="double" w:sz="6"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 </w:t>
            </w:r>
          </w:p>
        </w:tc>
        <w:tc>
          <w:tcPr>
            <w:tcW w:w="990" w:type="dxa"/>
            <w:tcBorders>
              <w:top w:val="single" w:sz="4" w:space="0" w:color="4F81BD"/>
              <w:left w:val="nil"/>
              <w:bottom w:val="double" w:sz="6"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2D</w:t>
            </w:r>
          </w:p>
        </w:tc>
        <w:tc>
          <w:tcPr>
            <w:tcW w:w="810" w:type="dxa"/>
            <w:tcBorders>
              <w:top w:val="single" w:sz="4" w:space="0" w:color="4F81BD"/>
              <w:left w:val="nil"/>
              <w:bottom w:val="double" w:sz="6"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b/>
                <w:bCs/>
                <w:color w:val="000000"/>
              </w:rPr>
            </w:pPr>
            <w:r w:rsidRPr="00A656B5">
              <w:rPr>
                <w:rFonts w:ascii="Calibri" w:eastAsia="Times New Roman" w:hAnsi="Calibri" w:cs="Times New Roman"/>
                <w:b/>
                <w:bCs/>
                <w:color w:val="000000"/>
              </w:rPr>
              <w:t> </w:t>
            </w:r>
          </w:p>
        </w:tc>
      </w:tr>
      <w:tr w:rsidR="00A656B5" w:rsidRPr="00A656B5" w:rsidTr="00A656B5">
        <w:trPr>
          <w:trHeight w:val="315"/>
        </w:trPr>
        <w:tc>
          <w:tcPr>
            <w:tcW w:w="2210" w:type="dxa"/>
            <w:tcBorders>
              <w:top w:val="nil"/>
              <w:left w:val="single" w:sz="4" w:space="0" w:color="4F81BD"/>
              <w:bottom w:val="single" w:sz="4" w:space="0" w:color="4F81BD"/>
              <w:right w:val="double" w:sz="6" w:space="0" w:color="4F81BD"/>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N9TH</w:t>
            </w:r>
          </w:p>
        </w:tc>
        <w:tc>
          <w:tcPr>
            <w:tcW w:w="1203" w:type="dxa"/>
            <w:tcBorders>
              <w:top w:val="nil"/>
              <w:left w:val="single" w:sz="8" w:space="0" w:color="4F81BD"/>
              <w:bottom w:val="single" w:sz="4"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4.48</w:t>
            </w:r>
          </w:p>
        </w:tc>
        <w:tc>
          <w:tcPr>
            <w:tcW w:w="787" w:type="dxa"/>
            <w:tcBorders>
              <w:top w:val="nil"/>
              <w:left w:val="nil"/>
              <w:bottom w:val="single" w:sz="4"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2</w:t>
            </w:r>
          </w:p>
        </w:tc>
        <w:tc>
          <w:tcPr>
            <w:tcW w:w="855" w:type="dxa"/>
            <w:tcBorders>
              <w:top w:val="nil"/>
              <w:left w:val="nil"/>
              <w:bottom w:val="single" w:sz="4"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1.59</w:t>
            </w:r>
          </w:p>
        </w:tc>
        <w:tc>
          <w:tcPr>
            <w:tcW w:w="720" w:type="dxa"/>
            <w:tcBorders>
              <w:top w:val="nil"/>
              <w:left w:val="nil"/>
              <w:bottom w:val="single" w:sz="4"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900" w:type="dxa"/>
            <w:tcBorders>
              <w:top w:val="nil"/>
              <w:left w:val="nil"/>
              <w:bottom w:val="single" w:sz="4"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1.67</w:t>
            </w:r>
          </w:p>
        </w:tc>
        <w:tc>
          <w:tcPr>
            <w:tcW w:w="810" w:type="dxa"/>
            <w:tcBorders>
              <w:top w:val="nil"/>
              <w:left w:val="nil"/>
              <w:bottom w:val="single" w:sz="4"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990" w:type="dxa"/>
            <w:tcBorders>
              <w:top w:val="nil"/>
              <w:left w:val="nil"/>
              <w:bottom w:val="single" w:sz="4" w:space="0" w:color="4F81BD"/>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1.46</w:t>
            </w:r>
          </w:p>
        </w:tc>
        <w:tc>
          <w:tcPr>
            <w:tcW w:w="810" w:type="dxa"/>
            <w:tcBorders>
              <w:top w:val="nil"/>
              <w:left w:val="nil"/>
              <w:bottom w:val="single" w:sz="4" w:space="0" w:color="4F81BD"/>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r>
      <w:tr w:rsidR="00A656B5" w:rsidRPr="00A656B5" w:rsidTr="00A656B5">
        <w:trPr>
          <w:trHeight w:val="300"/>
        </w:trPr>
        <w:tc>
          <w:tcPr>
            <w:tcW w:w="2210" w:type="dxa"/>
            <w:tcBorders>
              <w:top w:val="nil"/>
              <w:left w:val="single" w:sz="4" w:space="0" w:color="4F81BD"/>
              <w:bottom w:val="single" w:sz="4" w:space="0" w:color="4F81BD"/>
              <w:right w:val="double" w:sz="6" w:space="0" w:color="4F81BD"/>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PARK</w:t>
            </w:r>
          </w:p>
        </w:tc>
        <w:tc>
          <w:tcPr>
            <w:tcW w:w="1203" w:type="dxa"/>
            <w:tcBorders>
              <w:top w:val="nil"/>
              <w:left w:val="single" w:sz="8" w:space="0" w:color="4F81BD"/>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1.26</w:t>
            </w:r>
          </w:p>
        </w:tc>
        <w:tc>
          <w:tcPr>
            <w:tcW w:w="787"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855"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1.16</w:t>
            </w:r>
          </w:p>
        </w:tc>
        <w:tc>
          <w:tcPr>
            <w:tcW w:w="72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90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0.64</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99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0.59</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r>
      <w:tr w:rsidR="00A656B5" w:rsidRPr="00A656B5" w:rsidTr="00A656B5">
        <w:trPr>
          <w:trHeight w:val="315"/>
        </w:trPr>
        <w:tc>
          <w:tcPr>
            <w:tcW w:w="2210" w:type="dxa"/>
            <w:tcBorders>
              <w:top w:val="nil"/>
              <w:left w:val="single" w:sz="4" w:space="0" w:color="4F81BD"/>
              <w:bottom w:val="single" w:sz="4" w:space="0" w:color="4F81BD"/>
              <w:right w:val="double" w:sz="6" w:space="0" w:color="4F81BD"/>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BROAD</w:t>
            </w:r>
          </w:p>
        </w:tc>
        <w:tc>
          <w:tcPr>
            <w:tcW w:w="1203" w:type="dxa"/>
            <w:tcBorders>
              <w:top w:val="nil"/>
              <w:left w:val="single" w:sz="8" w:space="0" w:color="4F81BD"/>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1.40</w:t>
            </w:r>
          </w:p>
        </w:tc>
        <w:tc>
          <w:tcPr>
            <w:tcW w:w="787"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855"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2.43</w:t>
            </w:r>
          </w:p>
        </w:tc>
        <w:tc>
          <w:tcPr>
            <w:tcW w:w="72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2</w:t>
            </w:r>
          </w:p>
        </w:tc>
        <w:tc>
          <w:tcPr>
            <w:tcW w:w="90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1.24</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99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1.24</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r>
      <w:tr w:rsidR="00A656B5" w:rsidRPr="00A656B5" w:rsidTr="00A656B5">
        <w:trPr>
          <w:trHeight w:val="300"/>
        </w:trPr>
        <w:tc>
          <w:tcPr>
            <w:tcW w:w="2210" w:type="dxa"/>
            <w:tcBorders>
              <w:top w:val="nil"/>
              <w:left w:val="single" w:sz="4" w:space="0" w:color="4F81BD"/>
              <w:bottom w:val="single" w:sz="4" w:space="0" w:color="4F81BD"/>
              <w:right w:val="double" w:sz="6" w:space="0" w:color="4F81BD"/>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MAIN</w:t>
            </w:r>
          </w:p>
        </w:tc>
        <w:tc>
          <w:tcPr>
            <w:tcW w:w="1203" w:type="dxa"/>
            <w:tcBorders>
              <w:top w:val="nil"/>
              <w:left w:val="single" w:sz="8" w:space="0" w:color="4F81BD"/>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2.29</w:t>
            </w:r>
          </w:p>
        </w:tc>
        <w:tc>
          <w:tcPr>
            <w:tcW w:w="787"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2</w:t>
            </w:r>
          </w:p>
        </w:tc>
        <w:tc>
          <w:tcPr>
            <w:tcW w:w="855"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2.59</w:t>
            </w:r>
          </w:p>
        </w:tc>
        <w:tc>
          <w:tcPr>
            <w:tcW w:w="72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90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3.36</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3</w:t>
            </w:r>
          </w:p>
        </w:tc>
        <w:tc>
          <w:tcPr>
            <w:tcW w:w="99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3.35</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3</w:t>
            </w:r>
          </w:p>
        </w:tc>
      </w:tr>
      <w:tr w:rsidR="00A656B5" w:rsidRPr="00A656B5" w:rsidTr="00A656B5">
        <w:trPr>
          <w:trHeight w:val="300"/>
        </w:trPr>
        <w:tc>
          <w:tcPr>
            <w:tcW w:w="2210" w:type="dxa"/>
            <w:tcBorders>
              <w:top w:val="nil"/>
              <w:left w:val="single" w:sz="4" w:space="0" w:color="4F81BD"/>
              <w:bottom w:val="single" w:sz="4" w:space="0" w:color="4F81BD"/>
              <w:right w:val="double" w:sz="6" w:space="0" w:color="4F81BD"/>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DREHER</w:t>
            </w:r>
          </w:p>
        </w:tc>
        <w:tc>
          <w:tcPr>
            <w:tcW w:w="1203" w:type="dxa"/>
            <w:tcBorders>
              <w:top w:val="nil"/>
              <w:left w:val="single" w:sz="8" w:space="0" w:color="4F81BD"/>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0.71</w:t>
            </w:r>
          </w:p>
        </w:tc>
        <w:tc>
          <w:tcPr>
            <w:tcW w:w="787"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2</w:t>
            </w:r>
          </w:p>
        </w:tc>
        <w:tc>
          <w:tcPr>
            <w:tcW w:w="855"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0.70</w:t>
            </w:r>
          </w:p>
        </w:tc>
        <w:tc>
          <w:tcPr>
            <w:tcW w:w="72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w:t>
            </w:r>
          </w:p>
        </w:tc>
        <w:tc>
          <w:tcPr>
            <w:tcW w:w="90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 </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 </w:t>
            </w:r>
          </w:p>
        </w:tc>
        <w:tc>
          <w:tcPr>
            <w:tcW w:w="99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 </w:t>
            </w:r>
          </w:p>
        </w:tc>
        <w:tc>
          <w:tcPr>
            <w:tcW w:w="810" w:type="dxa"/>
            <w:tcBorders>
              <w:top w:val="nil"/>
              <w:left w:val="nil"/>
              <w:bottom w:val="single" w:sz="4" w:space="0" w:color="auto"/>
              <w:right w:val="single" w:sz="8" w:space="0" w:color="4F81BD"/>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 </w:t>
            </w:r>
          </w:p>
        </w:tc>
      </w:tr>
      <w:tr w:rsidR="00A656B5" w:rsidRPr="00A656B5" w:rsidTr="00A656B5">
        <w:trPr>
          <w:trHeight w:val="300"/>
        </w:trPr>
        <w:tc>
          <w:tcPr>
            <w:tcW w:w="2210" w:type="dxa"/>
            <w:tcBorders>
              <w:top w:val="single" w:sz="4" w:space="0" w:color="4F81BD"/>
              <w:left w:val="single" w:sz="4" w:space="0" w:color="auto"/>
              <w:bottom w:val="single" w:sz="4" w:space="0" w:color="auto"/>
              <w:right w:val="single" w:sz="4" w:space="0" w:color="auto"/>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total</w:t>
            </w:r>
          </w:p>
        </w:tc>
        <w:tc>
          <w:tcPr>
            <w:tcW w:w="1203" w:type="dxa"/>
            <w:tcBorders>
              <w:top w:val="nil"/>
              <w:left w:val="single" w:sz="4" w:space="0" w:color="auto"/>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10.14</w:t>
            </w:r>
          </w:p>
        </w:tc>
        <w:tc>
          <w:tcPr>
            <w:tcW w:w="787" w:type="dxa"/>
            <w:tcBorders>
              <w:top w:val="nil"/>
              <w:left w:val="nil"/>
              <w:bottom w:val="single" w:sz="4" w:space="0" w:color="auto"/>
              <w:right w:val="nil"/>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8.00</w:t>
            </w:r>
          </w:p>
        </w:tc>
        <w:tc>
          <w:tcPr>
            <w:tcW w:w="855"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8.47</w:t>
            </w:r>
          </w:p>
        </w:tc>
        <w:tc>
          <w:tcPr>
            <w:tcW w:w="720" w:type="dxa"/>
            <w:tcBorders>
              <w:top w:val="nil"/>
              <w:left w:val="nil"/>
              <w:bottom w:val="single" w:sz="4" w:space="0" w:color="auto"/>
              <w:right w:val="nil"/>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6.00</w:t>
            </w:r>
          </w:p>
        </w:tc>
        <w:tc>
          <w:tcPr>
            <w:tcW w:w="90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6.91</w:t>
            </w:r>
          </w:p>
        </w:tc>
        <w:tc>
          <w:tcPr>
            <w:tcW w:w="810" w:type="dxa"/>
            <w:tcBorders>
              <w:top w:val="nil"/>
              <w:left w:val="nil"/>
              <w:bottom w:val="single" w:sz="4" w:space="0" w:color="auto"/>
              <w:right w:val="nil"/>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6.00</w:t>
            </w:r>
          </w:p>
        </w:tc>
        <w:tc>
          <w:tcPr>
            <w:tcW w:w="990" w:type="dxa"/>
            <w:tcBorders>
              <w:top w:val="nil"/>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6.64</w:t>
            </w:r>
          </w:p>
        </w:tc>
        <w:tc>
          <w:tcPr>
            <w:tcW w:w="810" w:type="dxa"/>
            <w:tcBorders>
              <w:top w:val="single" w:sz="4" w:space="0" w:color="auto"/>
              <w:left w:val="nil"/>
              <w:bottom w:val="single" w:sz="4" w:space="0" w:color="auto"/>
              <w:right w:val="single" w:sz="4" w:space="0" w:color="auto"/>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6.00</w:t>
            </w:r>
          </w:p>
        </w:tc>
      </w:tr>
      <w:tr w:rsidR="00A656B5" w:rsidRPr="00A656B5" w:rsidTr="00A656B5">
        <w:trPr>
          <w:trHeight w:val="300"/>
        </w:trPr>
        <w:tc>
          <w:tcPr>
            <w:tcW w:w="22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CRASH/INTERSECTION</w:t>
            </w:r>
          </w:p>
        </w:tc>
        <w:tc>
          <w:tcPr>
            <w:tcW w:w="1203" w:type="dxa"/>
            <w:tcBorders>
              <w:top w:val="single" w:sz="4" w:space="0" w:color="auto"/>
              <w:left w:val="single" w:sz="4" w:space="0" w:color="auto"/>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p>
        </w:tc>
        <w:tc>
          <w:tcPr>
            <w:tcW w:w="787" w:type="dxa"/>
            <w:tcBorders>
              <w:top w:val="single" w:sz="4" w:space="0" w:color="auto"/>
              <w:left w:val="nil"/>
              <w:bottom w:val="single" w:sz="4" w:space="0" w:color="auto"/>
              <w:right w:val="nil"/>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1.27</w:t>
            </w:r>
          </w:p>
        </w:tc>
        <w:tc>
          <w:tcPr>
            <w:tcW w:w="855" w:type="dxa"/>
            <w:tcBorders>
              <w:top w:val="single" w:sz="4" w:space="0" w:color="auto"/>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p>
        </w:tc>
        <w:tc>
          <w:tcPr>
            <w:tcW w:w="720" w:type="dxa"/>
            <w:tcBorders>
              <w:top w:val="single" w:sz="4" w:space="0" w:color="auto"/>
              <w:left w:val="nil"/>
              <w:bottom w:val="single" w:sz="4" w:space="0" w:color="auto"/>
              <w:right w:val="nil"/>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1.41</w:t>
            </w:r>
          </w:p>
        </w:tc>
        <w:tc>
          <w:tcPr>
            <w:tcW w:w="900" w:type="dxa"/>
            <w:tcBorders>
              <w:top w:val="single" w:sz="4" w:space="0" w:color="auto"/>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p>
        </w:tc>
        <w:tc>
          <w:tcPr>
            <w:tcW w:w="810" w:type="dxa"/>
            <w:tcBorders>
              <w:top w:val="single" w:sz="4" w:space="0" w:color="auto"/>
              <w:left w:val="nil"/>
              <w:bottom w:val="single" w:sz="4" w:space="0" w:color="auto"/>
              <w:right w:val="nil"/>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1.15</w:t>
            </w:r>
          </w:p>
        </w:tc>
        <w:tc>
          <w:tcPr>
            <w:tcW w:w="990" w:type="dxa"/>
            <w:tcBorders>
              <w:top w:val="single" w:sz="4" w:space="0" w:color="auto"/>
              <w:left w:val="nil"/>
              <w:bottom w:val="single" w:sz="4" w:space="0" w:color="auto"/>
              <w:right w:val="nil"/>
            </w:tcBorders>
            <w:shd w:val="clear" w:color="auto" w:fill="auto"/>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p>
        </w:tc>
        <w:tc>
          <w:tcPr>
            <w:tcW w:w="810" w:type="dxa"/>
            <w:tcBorders>
              <w:top w:val="single" w:sz="4" w:space="0" w:color="auto"/>
              <w:left w:val="nil"/>
              <w:bottom w:val="single" w:sz="4" w:space="0" w:color="auto"/>
              <w:right w:val="single" w:sz="4" w:space="0" w:color="auto"/>
            </w:tcBorders>
            <w:shd w:val="clear" w:color="000000" w:fill="DAEEF3"/>
            <w:noWrap/>
            <w:vAlign w:val="bottom"/>
            <w:hideMark/>
          </w:tcPr>
          <w:p w:rsidR="00A656B5" w:rsidRPr="00A656B5" w:rsidRDefault="00A656B5" w:rsidP="00A656B5">
            <w:pPr>
              <w:spacing w:after="0" w:line="240" w:lineRule="auto"/>
              <w:jc w:val="center"/>
              <w:rPr>
                <w:rFonts w:ascii="Calibri" w:eastAsia="Times New Roman" w:hAnsi="Calibri" w:cs="Times New Roman"/>
                <w:color w:val="000000"/>
              </w:rPr>
            </w:pPr>
            <w:r w:rsidRPr="00A656B5">
              <w:rPr>
                <w:rFonts w:ascii="Calibri" w:eastAsia="Times New Roman" w:hAnsi="Calibri" w:cs="Times New Roman"/>
                <w:color w:val="000000"/>
              </w:rPr>
              <w:t>1.11</w:t>
            </w:r>
          </w:p>
        </w:tc>
      </w:tr>
      <w:tr w:rsidR="00A656B5" w:rsidRPr="00A656B5" w:rsidTr="00A656B5">
        <w:trPr>
          <w:trHeight w:val="300"/>
        </w:trPr>
        <w:tc>
          <w:tcPr>
            <w:tcW w:w="2210"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1203"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787"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55"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720"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00"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90"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single" w:sz="4" w:space="0" w:color="auto"/>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r>
      <w:tr w:rsidR="00A656B5" w:rsidRPr="00A656B5" w:rsidTr="00A656B5">
        <w:trPr>
          <w:trHeight w:val="300"/>
        </w:trPr>
        <w:tc>
          <w:tcPr>
            <w:tcW w:w="2210" w:type="dxa"/>
            <w:tcBorders>
              <w:top w:val="nil"/>
              <w:left w:val="nil"/>
              <w:bottom w:val="nil"/>
              <w:right w:val="nil"/>
            </w:tcBorders>
            <w:shd w:val="clear" w:color="000000" w:fill="DAEEF3"/>
            <w:noWrap/>
            <w:vAlign w:val="bottom"/>
            <w:hideMark/>
          </w:tcPr>
          <w:p w:rsidR="00A656B5" w:rsidRPr="00A656B5" w:rsidRDefault="00A656B5" w:rsidP="00A656B5">
            <w:pPr>
              <w:spacing w:after="0" w:line="240" w:lineRule="auto"/>
              <w:rPr>
                <w:rFonts w:ascii="Calibri" w:eastAsia="Times New Roman" w:hAnsi="Calibri" w:cs="Times New Roman"/>
                <w:color w:val="000000"/>
              </w:rPr>
            </w:pPr>
            <w:r w:rsidRPr="00A656B5">
              <w:rPr>
                <w:rFonts w:ascii="Calibri" w:eastAsia="Times New Roman" w:hAnsi="Calibri" w:cs="Times New Roman"/>
                <w:color w:val="000000"/>
              </w:rPr>
              <w:t> </w:t>
            </w:r>
          </w:p>
        </w:tc>
        <w:tc>
          <w:tcPr>
            <w:tcW w:w="2845" w:type="dxa"/>
            <w:gridSpan w:val="3"/>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r w:rsidRPr="00A656B5">
              <w:rPr>
                <w:rFonts w:ascii="Calibri" w:eastAsia="Times New Roman" w:hAnsi="Calibri" w:cs="Times New Roman"/>
                <w:color w:val="000000"/>
              </w:rPr>
              <w:t>= number of intersections</w:t>
            </w:r>
          </w:p>
        </w:tc>
        <w:tc>
          <w:tcPr>
            <w:tcW w:w="72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0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c>
          <w:tcPr>
            <w:tcW w:w="810" w:type="dxa"/>
            <w:tcBorders>
              <w:top w:val="nil"/>
              <w:left w:val="nil"/>
              <w:bottom w:val="nil"/>
              <w:right w:val="nil"/>
            </w:tcBorders>
            <w:shd w:val="clear" w:color="auto" w:fill="auto"/>
            <w:noWrap/>
            <w:vAlign w:val="bottom"/>
            <w:hideMark/>
          </w:tcPr>
          <w:p w:rsidR="00A656B5" w:rsidRPr="00A656B5" w:rsidRDefault="00A656B5" w:rsidP="00A656B5">
            <w:pPr>
              <w:spacing w:after="0" w:line="240" w:lineRule="auto"/>
              <w:rPr>
                <w:rFonts w:ascii="Calibri" w:eastAsia="Times New Roman" w:hAnsi="Calibri" w:cs="Times New Roman"/>
                <w:color w:val="000000"/>
              </w:rPr>
            </w:pPr>
          </w:p>
        </w:tc>
      </w:tr>
    </w:tbl>
    <w:p w:rsidR="004A292A" w:rsidRDefault="004A292A" w:rsidP="004A292A"/>
    <w:sectPr w:rsidR="004A2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909ED"/>
    <w:multiLevelType w:val="hybridMultilevel"/>
    <w:tmpl w:val="007261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A9"/>
    <w:rsid w:val="00041C5D"/>
    <w:rsid w:val="00050060"/>
    <w:rsid w:val="000756AB"/>
    <w:rsid w:val="000E0A5B"/>
    <w:rsid w:val="00122DA2"/>
    <w:rsid w:val="00140605"/>
    <w:rsid w:val="001B0120"/>
    <w:rsid w:val="00200397"/>
    <w:rsid w:val="002B26DA"/>
    <w:rsid w:val="002B54AC"/>
    <w:rsid w:val="002D0CCF"/>
    <w:rsid w:val="002F0A0E"/>
    <w:rsid w:val="003251F6"/>
    <w:rsid w:val="00387D33"/>
    <w:rsid w:val="003C13EB"/>
    <w:rsid w:val="003C1580"/>
    <w:rsid w:val="003E347A"/>
    <w:rsid w:val="004A292A"/>
    <w:rsid w:val="004F5107"/>
    <w:rsid w:val="00590DD8"/>
    <w:rsid w:val="006A0E1B"/>
    <w:rsid w:val="006C248F"/>
    <w:rsid w:val="006D01CF"/>
    <w:rsid w:val="00783A46"/>
    <w:rsid w:val="007B6AB9"/>
    <w:rsid w:val="007D07A9"/>
    <w:rsid w:val="00886E3A"/>
    <w:rsid w:val="00897A67"/>
    <w:rsid w:val="00916B01"/>
    <w:rsid w:val="00922227"/>
    <w:rsid w:val="00994266"/>
    <w:rsid w:val="009E2A41"/>
    <w:rsid w:val="00A47E9A"/>
    <w:rsid w:val="00A6141F"/>
    <w:rsid w:val="00A656B5"/>
    <w:rsid w:val="00A76EE4"/>
    <w:rsid w:val="00A965C2"/>
    <w:rsid w:val="00B27C98"/>
    <w:rsid w:val="00B401AC"/>
    <w:rsid w:val="00B66279"/>
    <w:rsid w:val="00B97DF1"/>
    <w:rsid w:val="00BE5067"/>
    <w:rsid w:val="00CE0092"/>
    <w:rsid w:val="00D21234"/>
    <w:rsid w:val="00D44659"/>
    <w:rsid w:val="00D450EC"/>
    <w:rsid w:val="00D63B28"/>
    <w:rsid w:val="00DA49CA"/>
    <w:rsid w:val="00DB3964"/>
    <w:rsid w:val="00DC4C61"/>
    <w:rsid w:val="00E260A8"/>
    <w:rsid w:val="00E37D54"/>
    <w:rsid w:val="00E54731"/>
    <w:rsid w:val="00E90904"/>
    <w:rsid w:val="00EB0FEB"/>
    <w:rsid w:val="00EF4665"/>
    <w:rsid w:val="00F711BD"/>
    <w:rsid w:val="00F9023C"/>
    <w:rsid w:val="00FA1514"/>
    <w:rsid w:val="00FD3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C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C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30886">
      <w:bodyDiv w:val="1"/>
      <w:marLeft w:val="0"/>
      <w:marRight w:val="0"/>
      <w:marTop w:val="0"/>
      <w:marBottom w:val="0"/>
      <w:divBdr>
        <w:top w:val="none" w:sz="0" w:space="0" w:color="auto"/>
        <w:left w:val="none" w:sz="0" w:space="0" w:color="auto"/>
        <w:bottom w:val="none" w:sz="0" w:space="0" w:color="auto"/>
        <w:right w:val="none" w:sz="0" w:space="0" w:color="auto"/>
      </w:divBdr>
    </w:div>
    <w:div w:id="43066603">
      <w:bodyDiv w:val="1"/>
      <w:marLeft w:val="0"/>
      <w:marRight w:val="0"/>
      <w:marTop w:val="0"/>
      <w:marBottom w:val="0"/>
      <w:divBdr>
        <w:top w:val="none" w:sz="0" w:space="0" w:color="auto"/>
        <w:left w:val="none" w:sz="0" w:space="0" w:color="auto"/>
        <w:bottom w:val="none" w:sz="0" w:space="0" w:color="auto"/>
        <w:right w:val="none" w:sz="0" w:space="0" w:color="auto"/>
      </w:divBdr>
    </w:div>
    <w:div w:id="67655241">
      <w:bodyDiv w:val="1"/>
      <w:marLeft w:val="0"/>
      <w:marRight w:val="0"/>
      <w:marTop w:val="0"/>
      <w:marBottom w:val="0"/>
      <w:divBdr>
        <w:top w:val="none" w:sz="0" w:space="0" w:color="auto"/>
        <w:left w:val="none" w:sz="0" w:space="0" w:color="auto"/>
        <w:bottom w:val="none" w:sz="0" w:space="0" w:color="auto"/>
        <w:right w:val="none" w:sz="0" w:space="0" w:color="auto"/>
      </w:divBdr>
    </w:div>
    <w:div w:id="92479567">
      <w:bodyDiv w:val="1"/>
      <w:marLeft w:val="0"/>
      <w:marRight w:val="0"/>
      <w:marTop w:val="0"/>
      <w:marBottom w:val="0"/>
      <w:divBdr>
        <w:top w:val="none" w:sz="0" w:space="0" w:color="auto"/>
        <w:left w:val="none" w:sz="0" w:space="0" w:color="auto"/>
        <w:bottom w:val="none" w:sz="0" w:space="0" w:color="auto"/>
        <w:right w:val="none" w:sz="0" w:space="0" w:color="auto"/>
      </w:divBdr>
    </w:div>
    <w:div w:id="266279470">
      <w:bodyDiv w:val="1"/>
      <w:marLeft w:val="0"/>
      <w:marRight w:val="0"/>
      <w:marTop w:val="0"/>
      <w:marBottom w:val="0"/>
      <w:divBdr>
        <w:top w:val="none" w:sz="0" w:space="0" w:color="auto"/>
        <w:left w:val="none" w:sz="0" w:space="0" w:color="auto"/>
        <w:bottom w:val="none" w:sz="0" w:space="0" w:color="auto"/>
        <w:right w:val="none" w:sz="0" w:space="0" w:color="auto"/>
      </w:divBdr>
    </w:div>
    <w:div w:id="278873297">
      <w:bodyDiv w:val="1"/>
      <w:marLeft w:val="0"/>
      <w:marRight w:val="0"/>
      <w:marTop w:val="0"/>
      <w:marBottom w:val="0"/>
      <w:divBdr>
        <w:top w:val="none" w:sz="0" w:space="0" w:color="auto"/>
        <w:left w:val="none" w:sz="0" w:space="0" w:color="auto"/>
        <w:bottom w:val="none" w:sz="0" w:space="0" w:color="auto"/>
        <w:right w:val="none" w:sz="0" w:space="0" w:color="auto"/>
      </w:divBdr>
    </w:div>
    <w:div w:id="300043716">
      <w:bodyDiv w:val="1"/>
      <w:marLeft w:val="0"/>
      <w:marRight w:val="0"/>
      <w:marTop w:val="0"/>
      <w:marBottom w:val="0"/>
      <w:divBdr>
        <w:top w:val="none" w:sz="0" w:space="0" w:color="auto"/>
        <w:left w:val="none" w:sz="0" w:space="0" w:color="auto"/>
        <w:bottom w:val="none" w:sz="0" w:space="0" w:color="auto"/>
        <w:right w:val="none" w:sz="0" w:space="0" w:color="auto"/>
      </w:divBdr>
    </w:div>
    <w:div w:id="327945915">
      <w:bodyDiv w:val="1"/>
      <w:marLeft w:val="0"/>
      <w:marRight w:val="0"/>
      <w:marTop w:val="0"/>
      <w:marBottom w:val="0"/>
      <w:divBdr>
        <w:top w:val="none" w:sz="0" w:space="0" w:color="auto"/>
        <w:left w:val="none" w:sz="0" w:space="0" w:color="auto"/>
        <w:bottom w:val="none" w:sz="0" w:space="0" w:color="auto"/>
        <w:right w:val="none" w:sz="0" w:space="0" w:color="auto"/>
      </w:divBdr>
    </w:div>
    <w:div w:id="355742219">
      <w:bodyDiv w:val="1"/>
      <w:marLeft w:val="0"/>
      <w:marRight w:val="0"/>
      <w:marTop w:val="0"/>
      <w:marBottom w:val="0"/>
      <w:divBdr>
        <w:top w:val="none" w:sz="0" w:space="0" w:color="auto"/>
        <w:left w:val="none" w:sz="0" w:space="0" w:color="auto"/>
        <w:bottom w:val="none" w:sz="0" w:space="0" w:color="auto"/>
        <w:right w:val="none" w:sz="0" w:space="0" w:color="auto"/>
      </w:divBdr>
    </w:div>
    <w:div w:id="455173167">
      <w:bodyDiv w:val="1"/>
      <w:marLeft w:val="0"/>
      <w:marRight w:val="0"/>
      <w:marTop w:val="0"/>
      <w:marBottom w:val="0"/>
      <w:divBdr>
        <w:top w:val="none" w:sz="0" w:space="0" w:color="auto"/>
        <w:left w:val="none" w:sz="0" w:space="0" w:color="auto"/>
        <w:bottom w:val="none" w:sz="0" w:space="0" w:color="auto"/>
        <w:right w:val="none" w:sz="0" w:space="0" w:color="auto"/>
      </w:divBdr>
    </w:div>
    <w:div w:id="464200919">
      <w:bodyDiv w:val="1"/>
      <w:marLeft w:val="0"/>
      <w:marRight w:val="0"/>
      <w:marTop w:val="0"/>
      <w:marBottom w:val="0"/>
      <w:divBdr>
        <w:top w:val="none" w:sz="0" w:space="0" w:color="auto"/>
        <w:left w:val="none" w:sz="0" w:space="0" w:color="auto"/>
        <w:bottom w:val="none" w:sz="0" w:space="0" w:color="auto"/>
        <w:right w:val="none" w:sz="0" w:space="0" w:color="auto"/>
      </w:divBdr>
    </w:div>
    <w:div w:id="531114163">
      <w:bodyDiv w:val="1"/>
      <w:marLeft w:val="0"/>
      <w:marRight w:val="0"/>
      <w:marTop w:val="0"/>
      <w:marBottom w:val="0"/>
      <w:divBdr>
        <w:top w:val="none" w:sz="0" w:space="0" w:color="auto"/>
        <w:left w:val="none" w:sz="0" w:space="0" w:color="auto"/>
        <w:bottom w:val="none" w:sz="0" w:space="0" w:color="auto"/>
        <w:right w:val="none" w:sz="0" w:space="0" w:color="auto"/>
      </w:divBdr>
    </w:div>
    <w:div w:id="532115085">
      <w:bodyDiv w:val="1"/>
      <w:marLeft w:val="0"/>
      <w:marRight w:val="0"/>
      <w:marTop w:val="0"/>
      <w:marBottom w:val="0"/>
      <w:divBdr>
        <w:top w:val="none" w:sz="0" w:space="0" w:color="auto"/>
        <w:left w:val="none" w:sz="0" w:space="0" w:color="auto"/>
        <w:bottom w:val="none" w:sz="0" w:space="0" w:color="auto"/>
        <w:right w:val="none" w:sz="0" w:space="0" w:color="auto"/>
      </w:divBdr>
    </w:div>
    <w:div w:id="585378597">
      <w:bodyDiv w:val="1"/>
      <w:marLeft w:val="0"/>
      <w:marRight w:val="0"/>
      <w:marTop w:val="0"/>
      <w:marBottom w:val="0"/>
      <w:divBdr>
        <w:top w:val="none" w:sz="0" w:space="0" w:color="auto"/>
        <w:left w:val="none" w:sz="0" w:space="0" w:color="auto"/>
        <w:bottom w:val="none" w:sz="0" w:space="0" w:color="auto"/>
        <w:right w:val="none" w:sz="0" w:space="0" w:color="auto"/>
      </w:divBdr>
    </w:div>
    <w:div w:id="659693515">
      <w:bodyDiv w:val="1"/>
      <w:marLeft w:val="0"/>
      <w:marRight w:val="0"/>
      <w:marTop w:val="0"/>
      <w:marBottom w:val="0"/>
      <w:divBdr>
        <w:top w:val="none" w:sz="0" w:space="0" w:color="auto"/>
        <w:left w:val="none" w:sz="0" w:space="0" w:color="auto"/>
        <w:bottom w:val="none" w:sz="0" w:space="0" w:color="auto"/>
        <w:right w:val="none" w:sz="0" w:space="0" w:color="auto"/>
      </w:divBdr>
    </w:div>
    <w:div w:id="691029212">
      <w:bodyDiv w:val="1"/>
      <w:marLeft w:val="0"/>
      <w:marRight w:val="0"/>
      <w:marTop w:val="0"/>
      <w:marBottom w:val="0"/>
      <w:divBdr>
        <w:top w:val="none" w:sz="0" w:space="0" w:color="auto"/>
        <w:left w:val="none" w:sz="0" w:space="0" w:color="auto"/>
        <w:bottom w:val="none" w:sz="0" w:space="0" w:color="auto"/>
        <w:right w:val="none" w:sz="0" w:space="0" w:color="auto"/>
      </w:divBdr>
    </w:div>
    <w:div w:id="721636551">
      <w:bodyDiv w:val="1"/>
      <w:marLeft w:val="0"/>
      <w:marRight w:val="0"/>
      <w:marTop w:val="0"/>
      <w:marBottom w:val="0"/>
      <w:divBdr>
        <w:top w:val="none" w:sz="0" w:space="0" w:color="auto"/>
        <w:left w:val="none" w:sz="0" w:space="0" w:color="auto"/>
        <w:bottom w:val="none" w:sz="0" w:space="0" w:color="auto"/>
        <w:right w:val="none" w:sz="0" w:space="0" w:color="auto"/>
      </w:divBdr>
    </w:div>
    <w:div w:id="824127774">
      <w:bodyDiv w:val="1"/>
      <w:marLeft w:val="0"/>
      <w:marRight w:val="0"/>
      <w:marTop w:val="0"/>
      <w:marBottom w:val="0"/>
      <w:divBdr>
        <w:top w:val="none" w:sz="0" w:space="0" w:color="auto"/>
        <w:left w:val="none" w:sz="0" w:space="0" w:color="auto"/>
        <w:bottom w:val="none" w:sz="0" w:space="0" w:color="auto"/>
        <w:right w:val="none" w:sz="0" w:space="0" w:color="auto"/>
      </w:divBdr>
    </w:div>
    <w:div w:id="1021976627">
      <w:bodyDiv w:val="1"/>
      <w:marLeft w:val="0"/>
      <w:marRight w:val="0"/>
      <w:marTop w:val="0"/>
      <w:marBottom w:val="0"/>
      <w:divBdr>
        <w:top w:val="none" w:sz="0" w:space="0" w:color="auto"/>
        <w:left w:val="none" w:sz="0" w:space="0" w:color="auto"/>
        <w:bottom w:val="none" w:sz="0" w:space="0" w:color="auto"/>
        <w:right w:val="none" w:sz="0" w:space="0" w:color="auto"/>
      </w:divBdr>
    </w:div>
    <w:div w:id="1052071801">
      <w:bodyDiv w:val="1"/>
      <w:marLeft w:val="0"/>
      <w:marRight w:val="0"/>
      <w:marTop w:val="0"/>
      <w:marBottom w:val="0"/>
      <w:divBdr>
        <w:top w:val="none" w:sz="0" w:space="0" w:color="auto"/>
        <w:left w:val="none" w:sz="0" w:space="0" w:color="auto"/>
        <w:bottom w:val="none" w:sz="0" w:space="0" w:color="auto"/>
        <w:right w:val="none" w:sz="0" w:space="0" w:color="auto"/>
      </w:divBdr>
    </w:div>
    <w:div w:id="1301376569">
      <w:bodyDiv w:val="1"/>
      <w:marLeft w:val="0"/>
      <w:marRight w:val="0"/>
      <w:marTop w:val="0"/>
      <w:marBottom w:val="0"/>
      <w:divBdr>
        <w:top w:val="none" w:sz="0" w:space="0" w:color="auto"/>
        <w:left w:val="none" w:sz="0" w:space="0" w:color="auto"/>
        <w:bottom w:val="none" w:sz="0" w:space="0" w:color="auto"/>
        <w:right w:val="none" w:sz="0" w:space="0" w:color="auto"/>
      </w:divBdr>
    </w:div>
    <w:div w:id="1317027036">
      <w:bodyDiv w:val="1"/>
      <w:marLeft w:val="0"/>
      <w:marRight w:val="0"/>
      <w:marTop w:val="0"/>
      <w:marBottom w:val="0"/>
      <w:divBdr>
        <w:top w:val="none" w:sz="0" w:space="0" w:color="auto"/>
        <w:left w:val="none" w:sz="0" w:space="0" w:color="auto"/>
        <w:bottom w:val="none" w:sz="0" w:space="0" w:color="auto"/>
        <w:right w:val="none" w:sz="0" w:space="0" w:color="auto"/>
      </w:divBdr>
    </w:div>
    <w:div w:id="1364284429">
      <w:bodyDiv w:val="1"/>
      <w:marLeft w:val="0"/>
      <w:marRight w:val="0"/>
      <w:marTop w:val="0"/>
      <w:marBottom w:val="0"/>
      <w:divBdr>
        <w:top w:val="none" w:sz="0" w:space="0" w:color="auto"/>
        <w:left w:val="none" w:sz="0" w:space="0" w:color="auto"/>
        <w:bottom w:val="none" w:sz="0" w:space="0" w:color="auto"/>
        <w:right w:val="none" w:sz="0" w:space="0" w:color="auto"/>
      </w:divBdr>
    </w:div>
    <w:div w:id="1430127909">
      <w:bodyDiv w:val="1"/>
      <w:marLeft w:val="0"/>
      <w:marRight w:val="0"/>
      <w:marTop w:val="0"/>
      <w:marBottom w:val="0"/>
      <w:divBdr>
        <w:top w:val="none" w:sz="0" w:space="0" w:color="auto"/>
        <w:left w:val="none" w:sz="0" w:space="0" w:color="auto"/>
        <w:bottom w:val="none" w:sz="0" w:space="0" w:color="auto"/>
        <w:right w:val="none" w:sz="0" w:space="0" w:color="auto"/>
      </w:divBdr>
    </w:div>
    <w:div w:id="1447313013">
      <w:bodyDiv w:val="1"/>
      <w:marLeft w:val="0"/>
      <w:marRight w:val="0"/>
      <w:marTop w:val="0"/>
      <w:marBottom w:val="0"/>
      <w:divBdr>
        <w:top w:val="none" w:sz="0" w:space="0" w:color="auto"/>
        <w:left w:val="none" w:sz="0" w:space="0" w:color="auto"/>
        <w:bottom w:val="none" w:sz="0" w:space="0" w:color="auto"/>
        <w:right w:val="none" w:sz="0" w:space="0" w:color="auto"/>
      </w:divBdr>
    </w:div>
    <w:div w:id="1458523817">
      <w:bodyDiv w:val="1"/>
      <w:marLeft w:val="0"/>
      <w:marRight w:val="0"/>
      <w:marTop w:val="0"/>
      <w:marBottom w:val="0"/>
      <w:divBdr>
        <w:top w:val="none" w:sz="0" w:space="0" w:color="auto"/>
        <w:left w:val="none" w:sz="0" w:space="0" w:color="auto"/>
        <w:bottom w:val="none" w:sz="0" w:space="0" w:color="auto"/>
        <w:right w:val="none" w:sz="0" w:space="0" w:color="auto"/>
      </w:divBdr>
    </w:div>
    <w:div w:id="1569268000">
      <w:bodyDiv w:val="1"/>
      <w:marLeft w:val="0"/>
      <w:marRight w:val="0"/>
      <w:marTop w:val="0"/>
      <w:marBottom w:val="0"/>
      <w:divBdr>
        <w:top w:val="none" w:sz="0" w:space="0" w:color="auto"/>
        <w:left w:val="none" w:sz="0" w:space="0" w:color="auto"/>
        <w:bottom w:val="none" w:sz="0" w:space="0" w:color="auto"/>
        <w:right w:val="none" w:sz="0" w:space="0" w:color="auto"/>
      </w:divBdr>
    </w:div>
    <w:div w:id="1629044323">
      <w:bodyDiv w:val="1"/>
      <w:marLeft w:val="0"/>
      <w:marRight w:val="0"/>
      <w:marTop w:val="0"/>
      <w:marBottom w:val="0"/>
      <w:divBdr>
        <w:top w:val="none" w:sz="0" w:space="0" w:color="auto"/>
        <w:left w:val="none" w:sz="0" w:space="0" w:color="auto"/>
        <w:bottom w:val="none" w:sz="0" w:space="0" w:color="auto"/>
        <w:right w:val="none" w:sz="0" w:space="0" w:color="auto"/>
      </w:divBdr>
    </w:div>
    <w:div w:id="1704859880">
      <w:bodyDiv w:val="1"/>
      <w:marLeft w:val="0"/>
      <w:marRight w:val="0"/>
      <w:marTop w:val="0"/>
      <w:marBottom w:val="0"/>
      <w:divBdr>
        <w:top w:val="none" w:sz="0" w:space="0" w:color="auto"/>
        <w:left w:val="none" w:sz="0" w:space="0" w:color="auto"/>
        <w:bottom w:val="none" w:sz="0" w:space="0" w:color="auto"/>
        <w:right w:val="none" w:sz="0" w:space="0" w:color="auto"/>
      </w:divBdr>
    </w:div>
    <w:div w:id="1747415080">
      <w:bodyDiv w:val="1"/>
      <w:marLeft w:val="0"/>
      <w:marRight w:val="0"/>
      <w:marTop w:val="0"/>
      <w:marBottom w:val="0"/>
      <w:divBdr>
        <w:top w:val="none" w:sz="0" w:space="0" w:color="auto"/>
        <w:left w:val="none" w:sz="0" w:space="0" w:color="auto"/>
        <w:bottom w:val="none" w:sz="0" w:space="0" w:color="auto"/>
        <w:right w:val="none" w:sz="0" w:space="0" w:color="auto"/>
      </w:divBdr>
    </w:div>
    <w:div w:id="1758862080">
      <w:bodyDiv w:val="1"/>
      <w:marLeft w:val="0"/>
      <w:marRight w:val="0"/>
      <w:marTop w:val="0"/>
      <w:marBottom w:val="0"/>
      <w:divBdr>
        <w:top w:val="none" w:sz="0" w:space="0" w:color="auto"/>
        <w:left w:val="none" w:sz="0" w:space="0" w:color="auto"/>
        <w:bottom w:val="none" w:sz="0" w:space="0" w:color="auto"/>
        <w:right w:val="none" w:sz="0" w:space="0" w:color="auto"/>
      </w:divBdr>
    </w:div>
    <w:div w:id="1817533094">
      <w:bodyDiv w:val="1"/>
      <w:marLeft w:val="0"/>
      <w:marRight w:val="0"/>
      <w:marTop w:val="0"/>
      <w:marBottom w:val="0"/>
      <w:divBdr>
        <w:top w:val="none" w:sz="0" w:space="0" w:color="auto"/>
        <w:left w:val="none" w:sz="0" w:space="0" w:color="auto"/>
        <w:bottom w:val="none" w:sz="0" w:space="0" w:color="auto"/>
        <w:right w:val="none" w:sz="0" w:space="0" w:color="auto"/>
      </w:divBdr>
    </w:div>
    <w:div w:id="1836720192">
      <w:bodyDiv w:val="1"/>
      <w:marLeft w:val="0"/>
      <w:marRight w:val="0"/>
      <w:marTop w:val="0"/>
      <w:marBottom w:val="0"/>
      <w:divBdr>
        <w:top w:val="none" w:sz="0" w:space="0" w:color="auto"/>
        <w:left w:val="none" w:sz="0" w:space="0" w:color="auto"/>
        <w:bottom w:val="none" w:sz="0" w:space="0" w:color="auto"/>
        <w:right w:val="none" w:sz="0" w:space="0" w:color="auto"/>
      </w:divBdr>
    </w:div>
    <w:div w:id="1994262209">
      <w:bodyDiv w:val="1"/>
      <w:marLeft w:val="0"/>
      <w:marRight w:val="0"/>
      <w:marTop w:val="0"/>
      <w:marBottom w:val="0"/>
      <w:divBdr>
        <w:top w:val="none" w:sz="0" w:space="0" w:color="auto"/>
        <w:left w:val="none" w:sz="0" w:space="0" w:color="auto"/>
        <w:bottom w:val="none" w:sz="0" w:space="0" w:color="auto"/>
        <w:right w:val="none" w:sz="0" w:space="0" w:color="auto"/>
      </w:divBdr>
    </w:div>
    <w:div w:id="2031713774">
      <w:bodyDiv w:val="1"/>
      <w:marLeft w:val="0"/>
      <w:marRight w:val="0"/>
      <w:marTop w:val="0"/>
      <w:marBottom w:val="0"/>
      <w:divBdr>
        <w:top w:val="none" w:sz="0" w:space="0" w:color="auto"/>
        <w:left w:val="none" w:sz="0" w:space="0" w:color="auto"/>
        <w:bottom w:val="none" w:sz="0" w:space="0" w:color="auto"/>
        <w:right w:val="none" w:sz="0" w:space="0" w:color="auto"/>
      </w:divBdr>
    </w:div>
    <w:div w:id="204016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C1309-4FCA-476E-B33B-F94A0397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2</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AECOM</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Hoffberg, Kathryn</dc:creator>
  <cp:lastModifiedBy>Hoffberg, Kathryn</cp:lastModifiedBy>
  <cp:revision>38</cp:revision>
  <dcterms:created xsi:type="dcterms:W3CDTF">2015-03-02T16:53:00Z</dcterms:created>
  <dcterms:modified xsi:type="dcterms:W3CDTF">2015-03-23T19:44:00Z</dcterms:modified>
</cp:coreProperties>
</file>